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F7" w:rsidRPr="006C7240" w:rsidRDefault="00BB0DF7">
      <w:pPr>
        <w:rPr>
          <w:b/>
        </w:rPr>
      </w:pPr>
      <w:r w:rsidRPr="006C7240">
        <w:rPr>
          <w:b/>
        </w:rPr>
        <w:t>Sociologia Contemporânea II</w:t>
      </w:r>
      <w:r w:rsidR="006C7240">
        <w:rPr>
          <w:b/>
        </w:rPr>
        <w:t xml:space="preserve"> </w:t>
      </w:r>
    </w:p>
    <w:p w:rsidR="00BB0DF7" w:rsidRDefault="00BB0DF7"/>
    <w:tbl>
      <w:tblPr>
        <w:tblStyle w:val="Tabelacomgrade"/>
        <w:tblW w:w="8462" w:type="dxa"/>
        <w:tblLayout w:type="fixed"/>
        <w:tblLook w:val="04A0" w:firstRow="1" w:lastRow="0" w:firstColumn="1" w:lastColumn="0" w:noHBand="0" w:noVBand="1"/>
      </w:tblPr>
      <w:tblGrid>
        <w:gridCol w:w="440"/>
        <w:gridCol w:w="8022"/>
      </w:tblGrid>
      <w:tr w:rsidR="004C2381" w:rsidTr="004C2381">
        <w:tc>
          <w:tcPr>
            <w:tcW w:w="440" w:type="dxa"/>
          </w:tcPr>
          <w:p w:rsidR="004C2381" w:rsidRPr="006C7240" w:rsidRDefault="004C2381">
            <w:pPr>
              <w:rPr>
                <w:sz w:val="18"/>
              </w:rPr>
            </w:pPr>
            <w:r w:rsidRPr="006C7240">
              <w:rPr>
                <w:sz w:val="18"/>
              </w:rPr>
              <w:t>1</w:t>
            </w:r>
          </w:p>
        </w:tc>
        <w:tc>
          <w:tcPr>
            <w:tcW w:w="8022" w:type="dxa"/>
          </w:tcPr>
          <w:p w:rsidR="004C2381" w:rsidRDefault="004C2381">
            <w:bookmarkStart w:id="0" w:name="_GoBack"/>
            <w:bookmarkEnd w:id="0"/>
            <w:r>
              <w:t>Apresentação do curso, distribuição de seminários</w:t>
            </w:r>
          </w:p>
        </w:tc>
      </w:tr>
      <w:tr w:rsidR="004C2381" w:rsidTr="004C2381">
        <w:tc>
          <w:tcPr>
            <w:tcW w:w="440" w:type="dxa"/>
          </w:tcPr>
          <w:p w:rsidR="004C2381" w:rsidRPr="006C7240" w:rsidRDefault="004C2381">
            <w:pPr>
              <w:rPr>
                <w:sz w:val="18"/>
              </w:rPr>
            </w:pPr>
            <w:r w:rsidRPr="006C7240">
              <w:rPr>
                <w:sz w:val="18"/>
              </w:rPr>
              <w:t>2</w:t>
            </w:r>
          </w:p>
        </w:tc>
        <w:tc>
          <w:tcPr>
            <w:tcW w:w="8022" w:type="dxa"/>
          </w:tcPr>
          <w:p w:rsidR="004C2381" w:rsidRDefault="004C2381">
            <w:r>
              <w:t>Elias – O processo civilizador</w:t>
            </w:r>
          </w:p>
          <w:p w:rsidR="004C2381" w:rsidRDefault="004C2381"/>
          <w:p w:rsidR="004C2381" w:rsidRDefault="004C2381">
            <w:r w:rsidRPr="008B2810">
              <w:t>ELIAS, Norbert. O processo civilizador. Uma história dos costumes. Rio de Janeiro: Jorge Zahar, 1990.</w:t>
            </w:r>
            <w:r w:rsidRPr="00577C89">
              <w:t xml:space="preserve"> PP 67-95 e 169-202</w:t>
            </w:r>
          </w:p>
        </w:tc>
      </w:tr>
      <w:tr w:rsidR="004C2381" w:rsidTr="004C2381">
        <w:tc>
          <w:tcPr>
            <w:tcW w:w="440" w:type="dxa"/>
          </w:tcPr>
          <w:p w:rsidR="004C2381" w:rsidRPr="006C7240" w:rsidRDefault="004C2381">
            <w:pPr>
              <w:rPr>
                <w:sz w:val="18"/>
              </w:rPr>
            </w:pPr>
            <w:r w:rsidRPr="006C7240">
              <w:rPr>
                <w:sz w:val="18"/>
              </w:rPr>
              <w:t>3</w:t>
            </w:r>
          </w:p>
        </w:tc>
        <w:tc>
          <w:tcPr>
            <w:tcW w:w="8022" w:type="dxa"/>
          </w:tcPr>
          <w:p w:rsidR="004C2381" w:rsidRDefault="004C2381">
            <w:r>
              <w:t>Elias – Sociedade dos indivíduos e sociedade de corte</w:t>
            </w:r>
          </w:p>
          <w:p w:rsidR="004C2381" w:rsidRDefault="004C2381"/>
          <w:p w:rsidR="004C2381" w:rsidRDefault="004C2381">
            <w:r>
              <w:t>Elias, Norbert. A sociedade dos indivíduos. Rio de Janeiro: Jorge Zahar, 1884. Parte II. 61-125.</w:t>
            </w:r>
          </w:p>
          <w:p w:rsidR="004C2381" w:rsidRDefault="004C2381">
            <w:r>
              <w:t xml:space="preserve">Elias, Norbert. A sociedade de corte. Rio de Janeiro: Jorge Zahar, 2001. </w:t>
            </w:r>
            <w:proofErr w:type="spellStart"/>
            <w:r>
              <w:t>Cap</w:t>
            </w:r>
            <w:proofErr w:type="spellEnd"/>
            <w:r>
              <w:t xml:space="preserve"> III, pp 66-84.</w:t>
            </w:r>
          </w:p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4</w:t>
            </w:r>
          </w:p>
        </w:tc>
        <w:tc>
          <w:tcPr>
            <w:tcW w:w="8022" w:type="dxa"/>
          </w:tcPr>
          <w:p w:rsidR="004C2381" w:rsidRDefault="004C2381" w:rsidP="00894B2C">
            <w:r>
              <w:t>Bourdieu – o Poder simbólico</w:t>
            </w:r>
          </w:p>
          <w:p w:rsidR="004C2381" w:rsidRDefault="004C2381" w:rsidP="00894B2C"/>
          <w:p w:rsidR="004C2381" w:rsidRDefault="004C2381" w:rsidP="00894B2C">
            <w:r>
              <w:t xml:space="preserve">Bourdieu, Pierre. O poder simbólico. 10 ed. Rio de Janeiro: Bertrand Brasil, 2007. </w:t>
            </w:r>
            <w:proofErr w:type="spellStart"/>
            <w:r>
              <w:t>Cap</w:t>
            </w:r>
            <w:proofErr w:type="spellEnd"/>
            <w:r>
              <w:t xml:space="preserve"> I 7-16 e </w:t>
            </w:r>
            <w:proofErr w:type="spellStart"/>
            <w:r>
              <w:t>Cap</w:t>
            </w:r>
            <w:proofErr w:type="spellEnd"/>
            <w:r>
              <w:t xml:space="preserve"> III 59-73</w:t>
            </w:r>
          </w:p>
          <w:p w:rsidR="004C2381" w:rsidRDefault="004C2381" w:rsidP="00894B2C">
            <w:r>
              <w:t xml:space="preserve">Bourdieu, Pierre. Condição de classe e posição de classe. In: A economia das trocas simbólicas. 6ed. São Paulo: </w:t>
            </w:r>
            <w:proofErr w:type="spellStart"/>
            <w:r>
              <w:t>Perscpectiva</w:t>
            </w:r>
            <w:proofErr w:type="spellEnd"/>
            <w:r>
              <w:t>, 2005. P. 3-25</w:t>
            </w:r>
          </w:p>
          <w:p w:rsidR="004C2381" w:rsidRDefault="004C2381" w:rsidP="00894B2C"/>
        </w:tc>
      </w:tr>
      <w:tr w:rsidR="004C2381" w:rsidRPr="00D161C5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5</w:t>
            </w:r>
          </w:p>
        </w:tc>
        <w:tc>
          <w:tcPr>
            <w:tcW w:w="8022" w:type="dxa"/>
          </w:tcPr>
          <w:p w:rsidR="004C2381" w:rsidRDefault="004C2381" w:rsidP="00894B2C">
            <w:r>
              <w:t>Bourdieu – A distinção e a classe</w:t>
            </w:r>
          </w:p>
          <w:p w:rsidR="004C2381" w:rsidRDefault="004C2381" w:rsidP="00894B2C"/>
          <w:p w:rsidR="004C2381" w:rsidRDefault="004C2381" w:rsidP="00894B2C">
            <w:r>
              <w:t>Pierre Bourdieu. A distinção. Crítica social do julgamento. São Paulo, Edusp, 2008. P. 162-183</w:t>
            </w:r>
          </w:p>
          <w:p w:rsidR="004C2381" w:rsidRPr="00383C1F" w:rsidRDefault="004C2381" w:rsidP="00533392">
            <w:r w:rsidRPr="00D161C5">
              <w:t xml:space="preserve">WACQUANT, </w:t>
            </w:r>
            <w:proofErr w:type="spellStart"/>
            <w:r w:rsidRPr="00D161C5">
              <w:t>Loïc</w:t>
            </w:r>
            <w:proofErr w:type="spellEnd"/>
            <w:r w:rsidRPr="00D161C5">
              <w:t xml:space="preserve">. Poder simbólico e fabricação de grupos: como Bourdieu reformula a questão das classes. </w:t>
            </w:r>
            <w:r w:rsidRPr="00383C1F">
              <w:t xml:space="preserve">Novos estud. - </w:t>
            </w:r>
            <w:proofErr w:type="gramStart"/>
            <w:r w:rsidRPr="00383C1F">
              <w:t>CEBRAP,  São</w:t>
            </w:r>
            <w:proofErr w:type="gramEnd"/>
            <w:r w:rsidRPr="00383C1F">
              <w:t xml:space="preserve"> Paulo ,  n. 96, p. 87-103,  July  2013 .   </w:t>
            </w:r>
            <w:proofErr w:type="spellStart"/>
            <w:r w:rsidRPr="00383C1F">
              <w:t>Available</w:t>
            </w:r>
            <w:proofErr w:type="spellEnd"/>
            <w:r w:rsidRPr="00383C1F">
              <w:t xml:space="preserve"> </w:t>
            </w:r>
            <w:proofErr w:type="spellStart"/>
            <w:r w:rsidRPr="00383C1F">
              <w:t>from</w:t>
            </w:r>
            <w:proofErr w:type="spellEnd"/>
            <w:r w:rsidRPr="00383C1F">
              <w:t xml:space="preserve"> &lt;http://www.scielo.br/scielo.php?script=sci_arttext&amp;pid=S0101-33002013000200007&amp;lng=en&amp;nrm=iso&gt;. </w:t>
            </w:r>
          </w:p>
          <w:p w:rsidR="004C2381" w:rsidRPr="00383C1F" w:rsidRDefault="004C2381" w:rsidP="00533392"/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6</w:t>
            </w:r>
          </w:p>
        </w:tc>
        <w:tc>
          <w:tcPr>
            <w:tcW w:w="8022" w:type="dxa"/>
          </w:tcPr>
          <w:p w:rsidR="004C2381" w:rsidRDefault="004C2381" w:rsidP="00894B2C">
            <w:r>
              <w:t xml:space="preserve">Foucault – Vigiar e punir </w:t>
            </w:r>
          </w:p>
          <w:p w:rsidR="004C2381" w:rsidRDefault="004C2381" w:rsidP="00894B2C"/>
          <w:p w:rsidR="004C2381" w:rsidRDefault="004C2381" w:rsidP="00894B2C">
            <w:r>
              <w:t>A punição generalizada 63-86</w:t>
            </w:r>
          </w:p>
          <w:p w:rsidR="004C2381" w:rsidRDefault="004C2381" w:rsidP="00894B2C">
            <w:r>
              <w:t>Os corpos dóceis – p. 177 – 142</w:t>
            </w:r>
          </w:p>
          <w:p w:rsidR="004C2381" w:rsidRDefault="004C2381" w:rsidP="00894B2C">
            <w:r>
              <w:t>Ilegalidade e delinquência 215-242</w:t>
            </w:r>
          </w:p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7</w:t>
            </w:r>
          </w:p>
        </w:tc>
        <w:tc>
          <w:tcPr>
            <w:tcW w:w="8022" w:type="dxa"/>
          </w:tcPr>
          <w:p w:rsidR="004C2381" w:rsidRDefault="004C2381" w:rsidP="00894B2C">
            <w:r>
              <w:t>Foucault – Sexualidade</w:t>
            </w:r>
          </w:p>
          <w:p w:rsidR="004C2381" w:rsidRDefault="004C2381" w:rsidP="00894B2C"/>
          <w:p w:rsidR="004C2381" w:rsidRDefault="004C2381" w:rsidP="00894B2C"/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8</w:t>
            </w:r>
          </w:p>
        </w:tc>
        <w:tc>
          <w:tcPr>
            <w:tcW w:w="8022" w:type="dxa"/>
          </w:tcPr>
          <w:p w:rsidR="004C2381" w:rsidRDefault="004C2381" w:rsidP="00894B2C">
            <w:proofErr w:type="spellStart"/>
            <w:r>
              <w:t>Giddens</w:t>
            </w:r>
            <w:proofErr w:type="spellEnd"/>
            <w:r>
              <w:t>, – Consequências da modernidade</w:t>
            </w:r>
          </w:p>
          <w:p w:rsidR="004C2381" w:rsidRDefault="004C2381" w:rsidP="00894B2C"/>
          <w:p w:rsidR="004C2381" w:rsidRDefault="004C2381" w:rsidP="00894B2C">
            <w:proofErr w:type="spellStart"/>
            <w:r>
              <w:t>Giddens</w:t>
            </w:r>
            <w:proofErr w:type="spellEnd"/>
            <w:r>
              <w:t xml:space="preserve">, </w:t>
            </w:r>
            <w:proofErr w:type="spellStart"/>
            <w:r>
              <w:t>Anthny</w:t>
            </w:r>
            <w:proofErr w:type="spellEnd"/>
            <w:r>
              <w:t>. As consequências da modernidade. São Paulo: Ed Unesp, 1991, p. 11-65</w:t>
            </w:r>
          </w:p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9</w:t>
            </w:r>
          </w:p>
        </w:tc>
        <w:tc>
          <w:tcPr>
            <w:tcW w:w="8022" w:type="dxa"/>
          </w:tcPr>
          <w:p w:rsidR="004C2381" w:rsidRDefault="004C2381" w:rsidP="00894B2C">
            <w:proofErr w:type="spellStart"/>
            <w:r>
              <w:t>Giddens</w:t>
            </w:r>
            <w:proofErr w:type="spellEnd"/>
            <w:r>
              <w:t xml:space="preserve"> – transformação da intimidade</w:t>
            </w:r>
          </w:p>
          <w:p w:rsidR="004C2381" w:rsidRDefault="004C2381" w:rsidP="00894B2C"/>
          <w:p w:rsidR="004C2381" w:rsidRDefault="004C2381" w:rsidP="00383C1F">
            <w:proofErr w:type="spellStart"/>
            <w:r>
              <w:t>Giddens</w:t>
            </w:r>
            <w:proofErr w:type="spellEnd"/>
            <w:r>
              <w:t>, Anthony. A transformação da intimidade. São Paulo: Ed Unesp, 1993. P. 175-221</w:t>
            </w:r>
          </w:p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lastRenderedPageBreak/>
              <w:t>10</w:t>
            </w:r>
          </w:p>
        </w:tc>
        <w:tc>
          <w:tcPr>
            <w:tcW w:w="8022" w:type="dxa"/>
          </w:tcPr>
          <w:p w:rsidR="004C2381" w:rsidRDefault="004C2381" w:rsidP="00894B2C">
            <w:r>
              <w:t xml:space="preserve">HIRATA, Helena. Gênero, classe e raça: </w:t>
            </w:r>
            <w:proofErr w:type="spellStart"/>
            <w:r>
              <w:t>interseccionalidade</w:t>
            </w:r>
            <w:proofErr w:type="spellEnd"/>
            <w:r>
              <w:t xml:space="preserve"> e consubstancialidade das relações sociais. Tempo Social, revista de sociologia da USP, v. 26, n. 1, junho 2014, 61-73.</w:t>
            </w:r>
          </w:p>
          <w:p w:rsidR="004C2381" w:rsidRDefault="004C2381" w:rsidP="00894B2C"/>
          <w:p w:rsidR="004C2381" w:rsidRDefault="004C2381" w:rsidP="00894B2C">
            <w:r w:rsidRPr="007664FD">
              <w:t>FALQUET, Jules. Repensar as relações sociais de sexo, classe e “raça” na globalização neoliberal. Mediações - Revista de Ciências Sociais. v. 13, n. 1/2 (2008).</w:t>
            </w:r>
          </w:p>
          <w:p w:rsidR="004C2381" w:rsidRDefault="004C2381" w:rsidP="00894B2C"/>
          <w:p w:rsidR="004C2381" w:rsidRDefault="004C2381" w:rsidP="00894B2C">
            <w:r>
              <w:t>FRAZER, Nancy. Da redistribuição ao reconhecimento? Dilemas da justiça numa era pós-socialista. Cadernos de campo, São Paulo, n. 14/15, p. 231-239, 2006.</w:t>
            </w:r>
          </w:p>
          <w:p w:rsidR="004C2381" w:rsidRDefault="004C2381" w:rsidP="00894B2C"/>
          <w:p w:rsidR="004C2381" w:rsidRDefault="004C2381" w:rsidP="00894B2C"/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11</w:t>
            </w:r>
          </w:p>
        </w:tc>
        <w:tc>
          <w:tcPr>
            <w:tcW w:w="8022" w:type="dxa"/>
          </w:tcPr>
          <w:p w:rsidR="004C2381" w:rsidRDefault="004C2381" w:rsidP="00894B2C">
            <w:r w:rsidRPr="007664FD">
              <w:t xml:space="preserve">DAVIS, </w:t>
            </w:r>
            <w:proofErr w:type="spellStart"/>
            <w:r w:rsidRPr="007664FD">
              <w:t>Angela</w:t>
            </w:r>
            <w:proofErr w:type="spellEnd"/>
            <w:r w:rsidRPr="007664FD">
              <w:t xml:space="preserve">. Mulheres, raça e classe. São Paulo: </w:t>
            </w:r>
            <w:proofErr w:type="spellStart"/>
            <w:r w:rsidRPr="007664FD">
              <w:t>Boitempo</w:t>
            </w:r>
            <w:proofErr w:type="spellEnd"/>
            <w:r w:rsidRPr="007664FD">
              <w:t>, 2016.</w:t>
            </w:r>
          </w:p>
          <w:p w:rsidR="004C2381" w:rsidRDefault="004C2381" w:rsidP="00894B2C"/>
          <w:p w:rsidR="004C2381" w:rsidRDefault="004C2381" w:rsidP="00894B2C">
            <w:r>
              <w:t>Hill Collins, Patricia. Em direção a uma nova visão: raça, classe e gênero como categorias de análise e conexão. In: Moreno, Renata. Reflexões e práticas de</w:t>
            </w:r>
          </w:p>
          <w:p w:rsidR="004C2381" w:rsidRDefault="004C2381" w:rsidP="00894B2C">
            <w:r>
              <w:t xml:space="preserve">transformação feminista. SOF Sempre Viva. São Paulo, 2015. Disponível em </w:t>
            </w:r>
          </w:p>
          <w:p w:rsidR="004C2381" w:rsidRDefault="004C2381" w:rsidP="00894B2C">
            <w:hyperlink r:id="rId6" w:history="1">
              <w:r w:rsidRPr="00C22ACB">
                <w:rPr>
                  <w:rStyle w:val="Hyperlink"/>
                </w:rPr>
                <w:t>http://www.sof.org.br/wp-content/uploads/2016/01/reflex%C3%B5esepraticasdetransforma%C3%A7%C3%A3ofeminista.pdf</w:t>
              </w:r>
            </w:hyperlink>
          </w:p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12</w:t>
            </w:r>
          </w:p>
        </w:tc>
        <w:tc>
          <w:tcPr>
            <w:tcW w:w="8022" w:type="dxa"/>
          </w:tcPr>
          <w:p w:rsidR="004C2381" w:rsidRDefault="004C2381" w:rsidP="00894B2C">
            <w:r>
              <w:t xml:space="preserve">Hall –– </w:t>
            </w:r>
            <w:proofErr w:type="spellStart"/>
            <w:r>
              <w:t>descentramento</w:t>
            </w:r>
            <w:proofErr w:type="spellEnd"/>
            <w:r>
              <w:t xml:space="preserve"> do sujeito</w:t>
            </w:r>
          </w:p>
          <w:p w:rsidR="004C2381" w:rsidRDefault="004C2381" w:rsidP="00894B2C"/>
          <w:p w:rsidR="004C2381" w:rsidRDefault="004C2381" w:rsidP="00894B2C">
            <w:r>
              <w:t>Hall, Stuart. Identidade cultural na pós-modernidade. Cap. 3 e 5</w:t>
            </w:r>
          </w:p>
          <w:p w:rsidR="004C2381" w:rsidRDefault="004C2381" w:rsidP="00894B2C"/>
          <w:p w:rsidR="004C2381" w:rsidRDefault="004C2381" w:rsidP="00894B2C">
            <w:r w:rsidRPr="00AE71C5">
              <w:t>COSTA, Sergio. Da desigualdade à diferença: direito, política e a invenção da diversidade cultural na América Latina. Contemporânea – Revista de Sociologia da UFSCar. São Carlos, v. 5, n. 1, jan.-jun. 2015, pp. 145-165.</w:t>
            </w:r>
          </w:p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13</w:t>
            </w:r>
          </w:p>
        </w:tc>
        <w:tc>
          <w:tcPr>
            <w:tcW w:w="8022" w:type="dxa"/>
          </w:tcPr>
          <w:p w:rsidR="004C2381" w:rsidRDefault="004C2381" w:rsidP="00894B2C">
            <w:proofErr w:type="spellStart"/>
            <w:r>
              <w:t>Gilroy</w:t>
            </w:r>
            <w:proofErr w:type="spellEnd"/>
            <w:r>
              <w:t xml:space="preserve"> – modernidade e </w:t>
            </w:r>
            <w:proofErr w:type="spellStart"/>
            <w:r>
              <w:t>infra-humanidade</w:t>
            </w:r>
            <w:proofErr w:type="spellEnd"/>
          </w:p>
          <w:p w:rsidR="004C2381" w:rsidRDefault="004C2381" w:rsidP="00894B2C"/>
          <w:p w:rsidR="004C2381" w:rsidRDefault="004C2381" w:rsidP="00894B2C">
            <w:proofErr w:type="spellStart"/>
            <w:r w:rsidRPr="00383C1F">
              <w:t>Gilroy</w:t>
            </w:r>
            <w:proofErr w:type="spellEnd"/>
            <w:r w:rsidRPr="00383C1F">
              <w:t xml:space="preserve">, Paul. Entre campos: </w:t>
            </w:r>
            <w:proofErr w:type="spellStart"/>
            <w:proofErr w:type="gramStart"/>
            <w:r w:rsidRPr="00383C1F">
              <w:t>nações,cultura</w:t>
            </w:r>
            <w:proofErr w:type="spellEnd"/>
            <w:proofErr w:type="gramEnd"/>
            <w:r w:rsidRPr="00383C1F">
              <w:t xml:space="preserve"> e o fascínio da raça. São Paulo: </w:t>
            </w:r>
            <w:proofErr w:type="spellStart"/>
            <w:r w:rsidRPr="00383C1F">
              <w:t>Annablume</w:t>
            </w:r>
            <w:proofErr w:type="spellEnd"/>
            <w:r w:rsidRPr="00383C1F">
              <w:t xml:space="preserve">, 2007. Cap. Modernidade e </w:t>
            </w:r>
            <w:proofErr w:type="spellStart"/>
            <w:r w:rsidRPr="00383C1F">
              <w:t>Infra-Humanidade</w:t>
            </w:r>
            <w:proofErr w:type="spellEnd"/>
            <w:r w:rsidRPr="00383C1F">
              <w:t>, p. 77-12</w:t>
            </w:r>
            <w:r>
              <w:t>2</w:t>
            </w:r>
          </w:p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14</w:t>
            </w:r>
          </w:p>
        </w:tc>
        <w:tc>
          <w:tcPr>
            <w:tcW w:w="8022" w:type="dxa"/>
          </w:tcPr>
          <w:p w:rsidR="004C2381" w:rsidRDefault="004C2381" w:rsidP="00894B2C">
            <w:r>
              <w:t>Subjetividade neoliberal</w:t>
            </w:r>
          </w:p>
          <w:p w:rsidR="004C2381" w:rsidRDefault="004C2381" w:rsidP="00894B2C"/>
          <w:p w:rsidR="004C2381" w:rsidRDefault="004C2381" w:rsidP="00894B2C">
            <w:proofErr w:type="spellStart"/>
            <w:r w:rsidRPr="00114D1A">
              <w:rPr>
                <w:lang w:val="es-ES"/>
              </w:rPr>
              <w:t>Dardot</w:t>
            </w:r>
            <w:proofErr w:type="spellEnd"/>
            <w:r w:rsidRPr="00114D1A">
              <w:rPr>
                <w:lang w:val="es-ES"/>
              </w:rPr>
              <w:t xml:space="preserve">, Pierre e Laval, Christian. </w:t>
            </w:r>
            <w:r>
              <w:t xml:space="preserve">A nova razão do mundo. Cap. A fábrica do sujeito neoliberal. P. 321-376 </w:t>
            </w:r>
          </w:p>
          <w:p w:rsidR="004C2381" w:rsidRDefault="004C2381" w:rsidP="002342A4">
            <w:r>
              <w:t xml:space="preserve"> Conclusão - 377-402</w:t>
            </w:r>
          </w:p>
        </w:tc>
      </w:tr>
      <w:tr w:rsidR="004C2381" w:rsidTr="004C2381">
        <w:tc>
          <w:tcPr>
            <w:tcW w:w="440" w:type="dxa"/>
          </w:tcPr>
          <w:p w:rsidR="004C2381" w:rsidRPr="006C7240" w:rsidRDefault="004C2381" w:rsidP="00894B2C">
            <w:pPr>
              <w:rPr>
                <w:sz w:val="18"/>
              </w:rPr>
            </w:pPr>
            <w:r w:rsidRPr="006C7240">
              <w:rPr>
                <w:sz w:val="18"/>
              </w:rPr>
              <w:t>15</w:t>
            </w:r>
          </w:p>
        </w:tc>
        <w:tc>
          <w:tcPr>
            <w:tcW w:w="8022" w:type="dxa"/>
          </w:tcPr>
          <w:p w:rsidR="004C2381" w:rsidRDefault="004C2381" w:rsidP="00894B2C">
            <w:r>
              <w:t>Avaliação e encerramento</w:t>
            </w:r>
          </w:p>
        </w:tc>
      </w:tr>
    </w:tbl>
    <w:p w:rsidR="00BB0DF7" w:rsidRDefault="00BB0DF7"/>
    <w:sectPr w:rsidR="00BB0D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73" w:rsidRDefault="00344B73" w:rsidP="0014752C">
      <w:pPr>
        <w:spacing w:after="0" w:line="240" w:lineRule="auto"/>
      </w:pPr>
      <w:r>
        <w:separator/>
      </w:r>
    </w:p>
  </w:endnote>
  <w:endnote w:type="continuationSeparator" w:id="0">
    <w:p w:rsidR="00344B73" w:rsidRDefault="00344B73" w:rsidP="0014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73" w:rsidRDefault="00344B73" w:rsidP="0014752C">
      <w:pPr>
        <w:spacing w:after="0" w:line="240" w:lineRule="auto"/>
      </w:pPr>
      <w:r>
        <w:separator/>
      </w:r>
    </w:p>
  </w:footnote>
  <w:footnote w:type="continuationSeparator" w:id="0">
    <w:p w:rsidR="00344B73" w:rsidRDefault="00344B73" w:rsidP="0014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2C" w:rsidRDefault="0014752C">
    <w:pPr>
      <w:pStyle w:val="Cabealho"/>
    </w:pPr>
  </w:p>
  <w:tbl>
    <w:tblPr>
      <w:tblW w:w="9180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09"/>
      <w:gridCol w:w="6771"/>
    </w:tblGrid>
    <w:tr w:rsidR="0014752C" w:rsidTr="00847BE6">
      <w:trPr>
        <w:trHeight w:val="1908"/>
        <w:jc w:val="center"/>
      </w:trPr>
      <w:tc>
        <w:tcPr>
          <w:tcW w:w="240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113" w:type="dxa"/>
            <w:bottom w:w="0" w:type="dxa"/>
            <w:right w:w="108" w:type="dxa"/>
          </w:tcMar>
        </w:tcPr>
        <w:p w:rsidR="0014752C" w:rsidRDefault="0014752C" w:rsidP="0014752C">
          <w:pPr>
            <w:pStyle w:val="Standard"/>
            <w:rPr>
              <w:spacing w:val="18"/>
              <w:sz w:val="2"/>
            </w:rPr>
          </w:pPr>
        </w:p>
        <w:p w:rsidR="0014752C" w:rsidRDefault="0014752C" w:rsidP="0014752C">
          <w:pPr>
            <w:pStyle w:val="Standard"/>
            <w:rPr>
              <w:spacing w:val="18"/>
              <w:sz w:val="2"/>
            </w:rPr>
          </w:pPr>
        </w:p>
        <w:p w:rsidR="0014752C" w:rsidRDefault="0014752C" w:rsidP="0014752C">
          <w:pPr>
            <w:pStyle w:val="Standard"/>
            <w:rPr>
              <w:spacing w:val="18"/>
              <w:sz w:val="2"/>
            </w:rPr>
          </w:pPr>
        </w:p>
        <w:p w:rsidR="0014752C" w:rsidRDefault="0014752C" w:rsidP="0014752C">
          <w:pPr>
            <w:pStyle w:val="Standard"/>
            <w:rPr>
              <w:spacing w:val="18"/>
              <w:sz w:val="2"/>
            </w:rPr>
          </w:pPr>
        </w:p>
        <w:p w:rsidR="0014752C" w:rsidRDefault="0014752C" w:rsidP="0014752C">
          <w:pPr>
            <w:pStyle w:val="Standard"/>
            <w:rPr>
              <w:spacing w:val="18"/>
              <w:sz w:val="2"/>
            </w:rPr>
          </w:pPr>
        </w:p>
        <w:p w:rsidR="0014752C" w:rsidRDefault="0014752C" w:rsidP="0014752C">
          <w:pPr>
            <w:pStyle w:val="Standard"/>
            <w:rPr>
              <w:spacing w:val="18"/>
              <w:sz w:val="2"/>
            </w:rPr>
          </w:pPr>
        </w:p>
        <w:p w:rsidR="0014752C" w:rsidRDefault="0014752C" w:rsidP="0014752C">
          <w:pPr>
            <w:pStyle w:val="Standard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3500B58" wp14:editId="60D021E8">
                <wp:simplePos x="0" y="0"/>
                <wp:positionH relativeFrom="column">
                  <wp:posOffset>228600</wp:posOffset>
                </wp:positionH>
                <wp:positionV relativeFrom="paragraph">
                  <wp:posOffset>127796</wp:posOffset>
                </wp:positionV>
                <wp:extent cx="914400" cy="695163"/>
                <wp:effectExtent l="0" t="0" r="0" b="0"/>
                <wp:wrapNone/>
                <wp:docPr id="1" name="Imagem 2" descr="logo(3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95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14752C" w:rsidRDefault="0014752C" w:rsidP="0014752C">
          <w:pPr>
            <w:pStyle w:val="Standard"/>
          </w:pPr>
        </w:p>
      </w:tc>
      <w:tc>
        <w:tcPr>
          <w:tcW w:w="677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113" w:type="dxa"/>
            <w:bottom w:w="0" w:type="dxa"/>
            <w:right w:w="108" w:type="dxa"/>
          </w:tcMar>
        </w:tcPr>
        <w:p w:rsidR="0014752C" w:rsidRDefault="0014752C" w:rsidP="0014752C">
          <w:pPr>
            <w:pStyle w:val="Ttulo1"/>
            <w:spacing w:before="0" w:after="0"/>
            <w:jc w:val="center"/>
            <w:rPr>
              <w:rFonts w:ascii="Arial" w:hAnsi="Arial" w:cs="Arial"/>
              <w:bCs w:val="0"/>
              <w:kern w:val="0"/>
              <w:sz w:val="20"/>
              <w:szCs w:val="20"/>
            </w:rPr>
          </w:pPr>
        </w:p>
        <w:p w:rsidR="0014752C" w:rsidRDefault="0014752C" w:rsidP="0014752C">
          <w:pPr>
            <w:pStyle w:val="Ttulo1"/>
            <w:spacing w:before="0" w:after="0"/>
            <w:jc w:val="center"/>
          </w:pPr>
          <w:r>
            <w:rPr>
              <w:rFonts w:ascii="Arial" w:hAnsi="Arial" w:cs="Arial"/>
              <w:bCs w:val="0"/>
              <w:kern w:val="0"/>
              <w:sz w:val="18"/>
              <w:szCs w:val="18"/>
            </w:rPr>
            <w:t>Universidade Federal de São Carlos</w:t>
          </w:r>
        </w:p>
        <w:p w:rsidR="0014752C" w:rsidRDefault="0014752C" w:rsidP="0014752C">
          <w:pPr>
            <w:pStyle w:val="Standard"/>
            <w:jc w:val="center"/>
          </w:pPr>
          <w:r>
            <w:rPr>
              <w:rFonts w:ascii="Arial" w:hAnsi="Arial" w:cs="Arial"/>
              <w:b/>
              <w:sz w:val="18"/>
              <w:szCs w:val="18"/>
            </w:rPr>
            <w:t>Centro de Educação e Ciências Humanas</w:t>
          </w:r>
        </w:p>
        <w:p w:rsidR="0014752C" w:rsidRDefault="0014752C" w:rsidP="0014752C">
          <w:pPr>
            <w:pStyle w:val="Standard"/>
            <w:jc w:val="center"/>
          </w:pPr>
          <w:r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Departamento de Sociologia</w:t>
          </w:r>
        </w:p>
        <w:p w:rsidR="0014752C" w:rsidRDefault="0014752C" w:rsidP="0014752C">
          <w:pPr>
            <w:pStyle w:val="Standard"/>
            <w:jc w:val="center"/>
            <w:rPr>
              <w:rFonts w:ascii="Arial" w:hAnsi="Arial" w:cs="Arial"/>
              <w:sz w:val="18"/>
              <w:szCs w:val="18"/>
            </w:rPr>
          </w:pPr>
        </w:p>
        <w:p w:rsidR="0014752C" w:rsidRDefault="0014752C" w:rsidP="0014752C">
          <w:pPr>
            <w:pStyle w:val="Standard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Prof. Dra. Jacqueline Sinhoretto - </w:t>
          </w:r>
          <w:hyperlink r:id="rId2" w:history="1">
            <w:r>
              <w:t>jacsin@ufscar.br</w:t>
            </w:r>
          </w:hyperlink>
        </w:p>
        <w:p w:rsidR="0014752C" w:rsidRDefault="0014752C" w:rsidP="0014752C">
          <w:pPr>
            <w:pStyle w:val="Standard"/>
            <w:jc w:val="center"/>
          </w:pPr>
        </w:p>
      </w:tc>
    </w:tr>
  </w:tbl>
  <w:p w:rsidR="0014752C" w:rsidRDefault="0014752C">
    <w:pPr>
      <w:pStyle w:val="Cabealho"/>
    </w:pPr>
  </w:p>
  <w:p w:rsidR="0014752C" w:rsidRDefault="001475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F7"/>
    <w:rsid w:val="00022CC6"/>
    <w:rsid w:val="00114D1A"/>
    <w:rsid w:val="00136C27"/>
    <w:rsid w:val="0014752C"/>
    <w:rsid w:val="002342A4"/>
    <w:rsid w:val="00234AFC"/>
    <w:rsid w:val="00262F99"/>
    <w:rsid w:val="00274DD4"/>
    <w:rsid w:val="00344B73"/>
    <w:rsid w:val="00383C1F"/>
    <w:rsid w:val="00417204"/>
    <w:rsid w:val="00424B85"/>
    <w:rsid w:val="004C2381"/>
    <w:rsid w:val="00533392"/>
    <w:rsid w:val="00570561"/>
    <w:rsid w:val="00577C89"/>
    <w:rsid w:val="00582696"/>
    <w:rsid w:val="00582C21"/>
    <w:rsid w:val="005E59AF"/>
    <w:rsid w:val="0063791A"/>
    <w:rsid w:val="006809A6"/>
    <w:rsid w:val="006C2BE0"/>
    <w:rsid w:val="006C7240"/>
    <w:rsid w:val="007664FD"/>
    <w:rsid w:val="00817C21"/>
    <w:rsid w:val="00842B0E"/>
    <w:rsid w:val="00894B2C"/>
    <w:rsid w:val="008B2810"/>
    <w:rsid w:val="008D0CC7"/>
    <w:rsid w:val="00933DEE"/>
    <w:rsid w:val="009D08D9"/>
    <w:rsid w:val="00AA6600"/>
    <w:rsid w:val="00AE71C5"/>
    <w:rsid w:val="00B00058"/>
    <w:rsid w:val="00BB0DF7"/>
    <w:rsid w:val="00BC73C6"/>
    <w:rsid w:val="00BD3557"/>
    <w:rsid w:val="00C13D18"/>
    <w:rsid w:val="00C64B23"/>
    <w:rsid w:val="00CB2AB1"/>
    <w:rsid w:val="00D161C5"/>
    <w:rsid w:val="00D60F1D"/>
    <w:rsid w:val="00D91031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63123-46BA-4E22-8937-2709CDCB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rsid w:val="0014752C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C73C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C73C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47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52C"/>
  </w:style>
  <w:style w:type="paragraph" w:styleId="Rodap">
    <w:name w:val="footer"/>
    <w:basedOn w:val="Normal"/>
    <w:link w:val="RodapChar"/>
    <w:uiPriority w:val="99"/>
    <w:unhideWhenUsed/>
    <w:rsid w:val="00147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52C"/>
  </w:style>
  <w:style w:type="character" w:customStyle="1" w:styleId="Ttulo1Char">
    <w:name w:val="Título 1 Char"/>
    <w:basedOn w:val="Fontepargpadro"/>
    <w:link w:val="Ttulo1"/>
    <w:rsid w:val="0014752C"/>
    <w:rPr>
      <w:rFonts w:ascii="Cambria" w:eastAsia="Cambria" w:hAnsi="Cambria" w:cs="Cambria"/>
      <w:b/>
      <w:bCs/>
      <w:kern w:val="3"/>
      <w:sz w:val="32"/>
      <w:szCs w:val="32"/>
      <w:lang w:eastAsia="pt-BR"/>
    </w:rPr>
  </w:style>
  <w:style w:type="paragraph" w:customStyle="1" w:styleId="Standard">
    <w:name w:val="Standard"/>
    <w:rsid w:val="001475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.org.br/wp-content/uploads/2016/01/reflex%C3%B5esepraticasdetransforma%C3%A7%C3%A3ofeminist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csin@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Sinhoretto</dc:creator>
  <cp:keywords/>
  <dc:description/>
  <cp:lastModifiedBy>user</cp:lastModifiedBy>
  <cp:revision>2</cp:revision>
  <dcterms:created xsi:type="dcterms:W3CDTF">2020-01-13T16:59:00Z</dcterms:created>
  <dcterms:modified xsi:type="dcterms:W3CDTF">2020-01-13T16:59:00Z</dcterms:modified>
</cp:coreProperties>
</file>